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75A48"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36"/>
          <w:szCs w:val="36"/>
        </w:rPr>
        <w:t>Arizona Geological Society – 14 January 2021 ZOOM Presentation</w:t>
      </w:r>
    </w:p>
    <w:p w14:paraId="3F3F698D" w14:textId="77777777" w:rsidR="00296EC2" w:rsidRPr="00296EC2" w:rsidRDefault="00296EC2" w:rsidP="00296EC2">
      <w:pPr>
        <w:shd w:val="clear" w:color="auto" w:fill="FFFFFF"/>
        <w:spacing w:after="0" w:line="240" w:lineRule="auto"/>
        <w:rPr>
          <w:rFonts w:ascii="Calibri" w:eastAsia="Times New Roman" w:hAnsi="Calibri" w:cs="Calibri"/>
          <w:color w:val="222222"/>
        </w:rPr>
      </w:pPr>
      <w:r w:rsidRPr="00296EC2">
        <w:rPr>
          <w:rFonts w:ascii="Calibri" w:eastAsia="Times New Roman" w:hAnsi="Calibri" w:cs="Calibri"/>
          <w:color w:val="222222"/>
          <w:sz w:val="28"/>
          <w:szCs w:val="28"/>
        </w:rPr>
        <w:t> </w:t>
      </w:r>
    </w:p>
    <w:p w14:paraId="7EC1278D" w14:textId="77777777" w:rsidR="00296EC2" w:rsidRPr="00296EC2" w:rsidRDefault="00296EC2" w:rsidP="00296EC2">
      <w:pPr>
        <w:shd w:val="clear" w:color="auto" w:fill="FFFFFF"/>
        <w:spacing w:after="0" w:line="240" w:lineRule="auto"/>
        <w:jc w:val="center"/>
        <w:rPr>
          <w:rFonts w:ascii="Calibri" w:eastAsia="Times New Roman" w:hAnsi="Calibri" w:cs="Calibri"/>
          <w:color w:val="222222"/>
        </w:rPr>
      </w:pPr>
      <w:r w:rsidRPr="00296EC2">
        <w:rPr>
          <w:rFonts w:ascii="Calibri" w:eastAsia="Times New Roman" w:hAnsi="Calibri" w:cs="Calibri"/>
          <w:color w:val="222222"/>
          <w:sz w:val="32"/>
          <w:szCs w:val="32"/>
        </w:rPr>
        <w:t>Mineral District and Orogenic Evolution in Arizona</w:t>
      </w:r>
    </w:p>
    <w:p w14:paraId="53174A8D" w14:textId="77777777" w:rsidR="00296EC2" w:rsidRPr="00296EC2" w:rsidRDefault="00296EC2" w:rsidP="00296EC2">
      <w:pPr>
        <w:shd w:val="clear" w:color="auto" w:fill="FFFFFF"/>
        <w:spacing w:after="0" w:line="240" w:lineRule="auto"/>
        <w:jc w:val="center"/>
        <w:rPr>
          <w:rFonts w:ascii="Arial" w:eastAsia="Times New Roman" w:hAnsi="Arial" w:cs="Arial"/>
          <w:color w:val="222222"/>
          <w:sz w:val="24"/>
          <w:szCs w:val="24"/>
        </w:rPr>
      </w:pPr>
      <w:r w:rsidRPr="00296EC2">
        <w:rPr>
          <w:rFonts w:ascii="Arial" w:eastAsia="Times New Roman" w:hAnsi="Arial" w:cs="Arial"/>
          <w:color w:val="222222"/>
          <w:sz w:val="32"/>
          <w:szCs w:val="32"/>
        </w:rPr>
        <w:t>by Jan Rasmussen and Stan Keith</w:t>
      </w:r>
    </w:p>
    <w:p w14:paraId="3F93E6A7" w14:textId="77777777" w:rsidR="00296EC2" w:rsidRPr="00296EC2" w:rsidRDefault="00296EC2" w:rsidP="00296EC2">
      <w:pPr>
        <w:shd w:val="clear" w:color="auto" w:fill="FFFFFF"/>
        <w:spacing w:after="0" w:line="240" w:lineRule="auto"/>
        <w:jc w:val="center"/>
        <w:rPr>
          <w:rFonts w:ascii="Arial" w:eastAsia="Times New Roman" w:hAnsi="Arial" w:cs="Arial"/>
          <w:color w:val="222222"/>
          <w:sz w:val="24"/>
          <w:szCs w:val="24"/>
        </w:rPr>
      </w:pPr>
      <w:proofErr w:type="spellStart"/>
      <w:r w:rsidRPr="00296EC2">
        <w:rPr>
          <w:rFonts w:ascii="Arial" w:eastAsia="Times New Roman" w:hAnsi="Arial" w:cs="Arial"/>
          <w:color w:val="222222"/>
          <w:sz w:val="28"/>
          <w:szCs w:val="28"/>
        </w:rPr>
        <w:t>MagmaChem</w:t>
      </w:r>
      <w:proofErr w:type="spellEnd"/>
      <w:r w:rsidRPr="00296EC2">
        <w:rPr>
          <w:rFonts w:ascii="Arial" w:eastAsia="Times New Roman" w:hAnsi="Arial" w:cs="Arial"/>
          <w:color w:val="222222"/>
          <w:sz w:val="28"/>
          <w:szCs w:val="28"/>
        </w:rPr>
        <w:t xml:space="preserve"> Research Institute</w:t>
      </w:r>
    </w:p>
    <w:p w14:paraId="28046FEF"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8"/>
          <w:szCs w:val="28"/>
        </w:rPr>
        <w:t> </w:t>
      </w:r>
    </w:p>
    <w:p w14:paraId="4D46E071"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ZOOM URL - </w:t>
      </w:r>
      <w:hyperlink r:id="rId4" w:tgtFrame="_blank" w:history="1">
        <w:r w:rsidRPr="00296EC2">
          <w:rPr>
            <w:rFonts w:ascii="Arial" w:eastAsia="Times New Roman" w:hAnsi="Arial" w:cs="Arial"/>
            <w:color w:val="1155CC"/>
            <w:sz w:val="24"/>
            <w:szCs w:val="24"/>
            <w:u w:val="single"/>
          </w:rPr>
          <w:t>https://arizona.zoom.us/j/87210212100</w:t>
        </w:r>
      </w:hyperlink>
    </w:p>
    <w:p w14:paraId="331D26DE"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Day:    Thurs, 14 January 2021</w:t>
      </w:r>
    </w:p>
    <w:p w14:paraId="0068E7FF"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Time:  6:30 p.m. (Admittance to ZOOM from 6:00 p.m. on)</w:t>
      </w:r>
    </w:p>
    <w:p w14:paraId="5398D0D7"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 </w:t>
      </w:r>
    </w:p>
    <w:p w14:paraId="2890B295"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b/>
          <w:bCs/>
          <w:color w:val="222222"/>
          <w:sz w:val="24"/>
          <w:szCs w:val="24"/>
        </w:rPr>
        <w:t>ABSTRACT</w:t>
      </w:r>
    </w:p>
    <w:p w14:paraId="521FC443"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 </w:t>
      </w:r>
    </w:p>
    <w:p w14:paraId="27B918C8" w14:textId="77777777" w:rsidR="00296EC2" w:rsidRPr="00296EC2" w:rsidRDefault="00296EC2" w:rsidP="00296EC2">
      <w:pPr>
        <w:shd w:val="clear" w:color="auto" w:fill="FFFFFF"/>
        <w:spacing w:after="0" w:line="240" w:lineRule="auto"/>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lang w:val="en-CA"/>
        </w:rPr>
        <w:t>            </w:t>
      </w:r>
      <w:r w:rsidRPr="00296EC2">
        <w:rPr>
          <w:rFonts w:ascii="Calibri" w:eastAsia="Times New Roman" w:hAnsi="Calibri" w:cs="Calibri"/>
          <w:color w:val="000000"/>
          <w:spacing w:val="-3"/>
          <w:sz w:val="24"/>
          <w:szCs w:val="24"/>
          <w:lang w:val="en-CA"/>
        </w:rPr>
        <w:t>The authors were asked by Ray Grant to write a chapter on Arizona geologic history and prepare mineral district maps for the 4</w:t>
      </w:r>
      <w:r w:rsidRPr="00296EC2">
        <w:rPr>
          <w:rFonts w:ascii="Calibri" w:eastAsia="Times New Roman" w:hAnsi="Calibri" w:cs="Calibri"/>
          <w:color w:val="000000"/>
          <w:spacing w:val="-3"/>
          <w:sz w:val="24"/>
          <w:szCs w:val="24"/>
          <w:vertAlign w:val="superscript"/>
          <w:lang w:val="en-CA"/>
        </w:rPr>
        <w:t>th</w:t>
      </w:r>
      <w:r w:rsidRPr="00296EC2">
        <w:rPr>
          <w:rFonts w:ascii="Calibri" w:eastAsia="Times New Roman" w:hAnsi="Calibri" w:cs="Calibri"/>
          <w:color w:val="000000"/>
          <w:spacing w:val="-3"/>
          <w:sz w:val="24"/>
          <w:szCs w:val="24"/>
          <w:lang w:val="en-CA"/>
        </w:rPr>
        <w:t xml:space="preserve"> edition of Mineralogy of Arizona, to be published by the University of Arizona Press in 2021 or 2022. The author’s 3-year effort resulted in a complete revision of the Arizona metallic mineral district map originally published by Keith and others in 1983 as Bulletin 194 from the Arizona Bureau Geology and Mineral Technology (now Arizona Geological Survey). The 1983 map presented for the </w:t>
      </w:r>
      <w:proofErr w:type="gramStart"/>
      <w:r w:rsidRPr="00296EC2">
        <w:rPr>
          <w:rFonts w:ascii="Calibri" w:eastAsia="Times New Roman" w:hAnsi="Calibri" w:cs="Calibri"/>
          <w:color w:val="000000"/>
          <w:spacing w:val="-3"/>
          <w:sz w:val="24"/>
          <w:szCs w:val="24"/>
          <w:lang w:val="en-CA"/>
        </w:rPr>
        <w:t>first time</w:t>
      </w:r>
      <w:proofErr w:type="gramEnd"/>
      <w:r w:rsidRPr="00296EC2">
        <w:rPr>
          <w:rFonts w:ascii="Calibri" w:eastAsia="Times New Roman" w:hAnsi="Calibri" w:cs="Calibri"/>
          <w:color w:val="000000"/>
          <w:spacing w:val="-3"/>
          <w:sz w:val="24"/>
          <w:szCs w:val="24"/>
          <w:lang w:val="en-CA"/>
        </w:rPr>
        <w:t xml:space="preserve"> outlines drawn around areas of metallic </w:t>
      </w:r>
      <w:proofErr w:type="spellStart"/>
      <w:r w:rsidRPr="00296EC2">
        <w:rPr>
          <w:rFonts w:ascii="Calibri" w:eastAsia="Times New Roman" w:hAnsi="Calibri" w:cs="Calibri"/>
          <w:color w:val="000000"/>
          <w:spacing w:val="-3"/>
          <w:sz w:val="24"/>
          <w:szCs w:val="24"/>
          <w:lang w:val="en-CA"/>
        </w:rPr>
        <w:t>meganeralization</w:t>
      </w:r>
      <w:proofErr w:type="spellEnd"/>
      <w:r w:rsidRPr="00296EC2">
        <w:rPr>
          <w:rFonts w:ascii="Calibri" w:eastAsia="Times New Roman" w:hAnsi="Calibri" w:cs="Calibri"/>
          <w:color w:val="000000"/>
          <w:spacing w:val="-3"/>
          <w:sz w:val="24"/>
          <w:szCs w:val="24"/>
          <w:lang w:val="en-CA"/>
        </w:rPr>
        <w:t xml:space="preserve"> of a certain age and metal type that typically correlated with a specific suite of igneous rock of the same age as the mineralization (the igneous suites were not shown at the time). The map was designed to be geologic and not to simply designate an area of historical mining activity as had been traditionally presented in previous literature.</w:t>
      </w:r>
    </w:p>
    <w:p w14:paraId="02F86D5A" w14:textId="77777777" w:rsidR="00296EC2" w:rsidRPr="00296EC2" w:rsidRDefault="00296EC2" w:rsidP="00296EC2">
      <w:pPr>
        <w:shd w:val="clear" w:color="auto" w:fill="FFFFFF"/>
        <w:spacing w:after="0" w:line="240" w:lineRule="auto"/>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0F87CE1F"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xml:space="preserve">Major additions to the mineral district map that are presented in the 4th edition include outlines for non-metallic and petroleum systems, which are also considered mineral systems. Mineral system compositional data was combined with chemical and mineralogical information for temporally and spatially associated magmatism. The magmatism was classified into Peraluminous and </w:t>
      </w:r>
      <w:proofErr w:type="spellStart"/>
      <w:r w:rsidRPr="00296EC2">
        <w:rPr>
          <w:rFonts w:ascii="Calibri" w:eastAsia="Times New Roman" w:hAnsi="Calibri" w:cs="Calibri"/>
          <w:color w:val="000000"/>
          <w:spacing w:val="-3"/>
          <w:sz w:val="24"/>
          <w:szCs w:val="24"/>
          <w:lang w:val="en-CA"/>
        </w:rPr>
        <w:t>Metaluminous</w:t>
      </w:r>
      <w:proofErr w:type="spellEnd"/>
      <w:r w:rsidRPr="00296EC2">
        <w:rPr>
          <w:rFonts w:ascii="Calibri" w:eastAsia="Times New Roman" w:hAnsi="Calibri" w:cs="Calibri"/>
          <w:color w:val="000000"/>
          <w:spacing w:val="-3"/>
          <w:sz w:val="24"/>
          <w:szCs w:val="24"/>
          <w:lang w:val="en-CA"/>
        </w:rPr>
        <w:t xml:space="preserve"> </w:t>
      </w:r>
      <w:proofErr w:type="spellStart"/>
      <w:r w:rsidRPr="00296EC2">
        <w:rPr>
          <w:rFonts w:ascii="Calibri" w:eastAsia="Times New Roman" w:hAnsi="Calibri" w:cs="Calibri"/>
          <w:color w:val="000000"/>
          <w:spacing w:val="-3"/>
          <w:sz w:val="24"/>
          <w:szCs w:val="24"/>
          <w:lang w:val="en-CA"/>
        </w:rPr>
        <w:t>megaseries</w:t>
      </w:r>
      <w:proofErr w:type="spellEnd"/>
      <w:r w:rsidRPr="00296EC2">
        <w:rPr>
          <w:rFonts w:ascii="Calibri" w:eastAsia="Times New Roman" w:hAnsi="Calibri" w:cs="Calibri"/>
          <w:color w:val="000000"/>
          <w:spacing w:val="-3"/>
          <w:sz w:val="24"/>
          <w:szCs w:val="24"/>
          <w:lang w:val="en-CA"/>
        </w:rPr>
        <w:t xml:space="preserve"> and then into Quartz Alkalic, Alkali-Calcic, Calc-Alkalic, and Calcic series and in selected cases, oxidized and reduced mini-series (Keith and others, 1991; Keith and Wilt, 1986; Keith and Swan, 1995). This approach allowed a systematic grouping of metallic production data and mineralogical occurrences into the mineral district map units.</w:t>
      </w:r>
    </w:p>
    <w:p w14:paraId="67FB261F"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28F26036"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xml:space="preserve">  Inspection of the county maps revealed contiguous areas of the same type of magmatism, metals, and age dates that are called super-systems, </w:t>
      </w:r>
      <w:proofErr w:type="gramStart"/>
      <w:r w:rsidRPr="00296EC2">
        <w:rPr>
          <w:rFonts w:ascii="Calibri" w:eastAsia="Times New Roman" w:hAnsi="Calibri" w:cs="Calibri"/>
          <w:color w:val="000000"/>
          <w:spacing w:val="-3"/>
          <w:sz w:val="24"/>
          <w:szCs w:val="24"/>
          <w:lang w:val="en-CA"/>
        </w:rPr>
        <w:t>These</w:t>
      </w:r>
      <w:proofErr w:type="gramEnd"/>
      <w:r w:rsidRPr="00296EC2">
        <w:rPr>
          <w:rFonts w:ascii="Calibri" w:eastAsia="Times New Roman" w:hAnsi="Calibri" w:cs="Calibri"/>
          <w:color w:val="000000"/>
          <w:spacing w:val="-3"/>
          <w:sz w:val="24"/>
          <w:szCs w:val="24"/>
          <w:lang w:val="en-CA"/>
        </w:rPr>
        <w:t xml:space="preserve"> super-systems probably are related to deeper, underlying batholiths. Some groupings of super-systems are called mega-systems. The mega-system units are large enough to be considered mini-metallogenic provinces and generally are not mixed with any other mineral system type. The mineral district maps in the 4th edition of Mineralogy of Arizona have information for each district about the igneous rock association, metals present, and age of the deposit in Ma.</w:t>
      </w:r>
    </w:p>
    <w:p w14:paraId="7561AF23"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3F88C268"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lastRenderedPageBreak/>
        <w:t xml:space="preserve">The mineral district maps introduce another new type of mineral district system: the ultra-deep hydrothermal (UDH) system. These gigantic systems are crustal in scale and represent various fractionations of massive hydrothermal fluids that in part are related to serpentinization processes deep in, or at the base of, the crust (the </w:t>
      </w:r>
      <w:proofErr w:type="spellStart"/>
      <w:r w:rsidRPr="00296EC2">
        <w:rPr>
          <w:rFonts w:ascii="Calibri" w:eastAsia="Times New Roman" w:hAnsi="Calibri" w:cs="Calibri"/>
          <w:color w:val="000000"/>
          <w:spacing w:val="-3"/>
          <w:sz w:val="24"/>
          <w:szCs w:val="24"/>
          <w:lang w:val="en-CA"/>
        </w:rPr>
        <w:t>Serpentosphere</w:t>
      </w:r>
      <w:proofErr w:type="spellEnd"/>
      <w:r w:rsidRPr="00296EC2">
        <w:rPr>
          <w:rFonts w:ascii="Calibri" w:eastAsia="Times New Roman" w:hAnsi="Calibri" w:cs="Calibri"/>
          <w:color w:val="000000"/>
          <w:spacing w:val="-3"/>
          <w:sz w:val="24"/>
          <w:szCs w:val="24"/>
          <w:lang w:val="en-CA"/>
        </w:rPr>
        <w:t xml:space="preserve"> of Keith and others, 2008). Such UDH systems include regional dolomitization (e.g., Epitaph System in southeastern Arizona), saline deposits (Holbrook basin in northeastern Arizona), chemical black shale deposits (e.g., Yellowbird graphite-graphene deposit in west-central Arizona), and hydrothermal oil systems (e.g., </w:t>
      </w:r>
      <w:proofErr w:type="spellStart"/>
      <w:r w:rsidRPr="00296EC2">
        <w:rPr>
          <w:rFonts w:ascii="Calibri" w:eastAsia="Times New Roman" w:hAnsi="Calibri" w:cs="Calibri"/>
          <w:color w:val="000000"/>
          <w:spacing w:val="-3"/>
          <w:sz w:val="24"/>
          <w:szCs w:val="24"/>
          <w:lang w:val="en-CA"/>
        </w:rPr>
        <w:t>Dineh</w:t>
      </w:r>
      <w:proofErr w:type="spellEnd"/>
      <w:r w:rsidRPr="00296EC2">
        <w:rPr>
          <w:rFonts w:ascii="Calibri" w:eastAsia="Times New Roman" w:hAnsi="Calibri" w:cs="Calibri"/>
          <w:color w:val="000000"/>
          <w:spacing w:val="-3"/>
          <w:sz w:val="24"/>
          <w:szCs w:val="24"/>
          <w:lang w:val="en-CA"/>
        </w:rPr>
        <w:t xml:space="preserve"> bi </w:t>
      </w:r>
      <w:proofErr w:type="spellStart"/>
      <w:r w:rsidRPr="00296EC2">
        <w:rPr>
          <w:rFonts w:ascii="Calibri" w:eastAsia="Times New Roman" w:hAnsi="Calibri" w:cs="Calibri"/>
          <w:color w:val="000000"/>
          <w:spacing w:val="-3"/>
          <w:sz w:val="24"/>
          <w:szCs w:val="24"/>
          <w:lang w:val="en-CA"/>
        </w:rPr>
        <w:t>Keyah</w:t>
      </w:r>
      <w:proofErr w:type="spellEnd"/>
      <w:r w:rsidRPr="00296EC2">
        <w:rPr>
          <w:rFonts w:ascii="Calibri" w:eastAsia="Times New Roman" w:hAnsi="Calibri" w:cs="Calibri"/>
          <w:color w:val="000000"/>
          <w:spacing w:val="-3"/>
          <w:sz w:val="24"/>
          <w:szCs w:val="24"/>
          <w:lang w:val="en-CA"/>
        </w:rPr>
        <w:t xml:space="preserve"> oil field in northeastern Arizona). UDH systems appear to be maximized during extensional rift episodes that tap deep mantle sources.</w:t>
      </w:r>
    </w:p>
    <w:p w14:paraId="7C96F0CF"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45A13E05"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xml:space="preserve">Compilation of the maps was done using </w:t>
      </w:r>
      <w:proofErr w:type="spellStart"/>
      <w:r w:rsidRPr="00296EC2">
        <w:rPr>
          <w:rFonts w:ascii="Calibri" w:eastAsia="Times New Roman" w:hAnsi="Calibri" w:cs="Calibri"/>
          <w:color w:val="000000"/>
          <w:spacing w:val="-3"/>
          <w:sz w:val="24"/>
          <w:szCs w:val="24"/>
          <w:lang w:val="en-CA"/>
        </w:rPr>
        <w:t>stratotectonic</w:t>
      </w:r>
      <w:proofErr w:type="spellEnd"/>
      <w:r w:rsidRPr="00296EC2">
        <w:rPr>
          <w:rFonts w:ascii="Calibri" w:eastAsia="Times New Roman" w:hAnsi="Calibri" w:cs="Calibri"/>
          <w:color w:val="000000"/>
          <w:spacing w:val="-3"/>
          <w:sz w:val="24"/>
          <w:szCs w:val="24"/>
          <w:lang w:val="en-CA"/>
        </w:rPr>
        <w:t xml:space="preserve"> analysis in the sense of Keith and Wilt (1986) and the magma-metal series classification presented by Keith and others (1991). This compilation revealed that at least 14 orogenic episodes or cycles affected Arizona though time, beginning about 1840 Ma, as recorded in zircons from the Elves Chasm orthogneiss of the western Grand Canyon. The research also revealed that the oldest geologic material in Arizona is not a </w:t>
      </w:r>
      <w:proofErr w:type="gramStart"/>
      <w:r w:rsidRPr="00296EC2">
        <w:rPr>
          <w:rFonts w:ascii="Calibri" w:eastAsia="Times New Roman" w:hAnsi="Calibri" w:cs="Calibri"/>
          <w:color w:val="000000"/>
          <w:spacing w:val="-3"/>
          <w:sz w:val="24"/>
          <w:szCs w:val="24"/>
          <w:lang w:val="en-CA"/>
        </w:rPr>
        <w:t>rock, but</w:t>
      </w:r>
      <w:proofErr w:type="gramEnd"/>
      <w:r w:rsidRPr="00296EC2">
        <w:rPr>
          <w:rFonts w:ascii="Calibri" w:eastAsia="Times New Roman" w:hAnsi="Calibri" w:cs="Calibri"/>
          <w:color w:val="000000"/>
          <w:spacing w:val="-3"/>
          <w:sz w:val="24"/>
          <w:szCs w:val="24"/>
          <w:lang w:val="en-CA"/>
        </w:rPr>
        <w:t xml:space="preserve"> is the mineral zircon. Detrital zircons as old as about 3.796 Ga have been extracted from the Vishnu Schist in the eastern Grand Canyon. This date suggests the sediments containing the zircon were derived from the Wyoming craton to the north of Arizona. The compilation also indicated that at least 4 periods of rifting or attempted rifting are present that intervene between the orogenic events.</w:t>
      </w:r>
    </w:p>
    <w:p w14:paraId="55D5135E"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6A54D6E9"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The orogenic/rift parade is summarized in Table 1. Each member of the orogenic parade can be generally divided into 3 phases:</w:t>
      </w:r>
    </w:p>
    <w:p w14:paraId="53C599B6"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5EA6B8A0" w14:textId="77777777" w:rsidR="00296EC2" w:rsidRPr="00296EC2" w:rsidRDefault="00296EC2" w:rsidP="00296EC2">
      <w:pPr>
        <w:shd w:val="clear" w:color="auto" w:fill="FFFFFF"/>
        <w:spacing w:before="120" w:after="0" w:line="240" w:lineRule="auto"/>
        <w:ind w:left="144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xml:space="preserve">1.   </w:t>
      </w:r>
      <w:proofErr w:type="spellStart"/>
      <w:r w:rsidRPr="00296EC2">
        <w:rPr>
          <w:rFonts w:ascii="Calibri" w:eastAsia="Times New Roman" w:hAnsi="Calibri" w:cs="Calibri"/>
          <w:color w:val="000000"/>
          <w:spacing w:val="-3"/>
          <w:sz w:val="24"/>
          <w:szCs w:val="24"/>
          <w:lang w:val="en-CA"/>
        </w:rPr>
        <w:t>Metaluminous</w:t>
      </w:r>
      <w:proofErr w:type="spellEnd"/>
      <w:r w:rsidRPr="00296EC2">
        <w:rPr>
          <w:rFonts w:ascii="Calibri" w:eastAsia="Times New Roman" w:hAnsi="Calibri" w:cs="Calibri"/>
          <w:color w:val="000000"/>
          <w:spacing w:val="-3"/>
          <w:sz w:val="24"/>
          <w:szCs w:val="24"/>
          <w:lang w:val="en-CA"/>
        </w:rPr>
        <w:t xml:space="preserve"> magmatism related to steep or steepening slab </w:t>
      </w:r>
      <w:proofErr w:type="gramStart"/>
      <w:r w:rsidRPr="00296EC2">
        <w:rPr>
          <w:rFonts w:ascii="Calibri" w:eastAsia="Times New Roman" w:hAnsi="Calibri" w:cs="Calibri"/>
          <w:color w:val="000000"/>
          <w:spacing w:val="-3"/>
          <w:sz w:val="24"/>
          <w:szCs w:val="24"/>
          <w:lang w:val="en-CA"/>
        </w:rPr>
        <w:t>subduction;</w:t>
      </w:r>
      <w:proofErr w:type="gramEnd"/>
    </w:p>
    <w:p w14:paraId="3D05C657" w14:textId="77777777" w:rsidR="00296EC2" w:rsidRPr="00296EC2" w:rsidRDefault="00296EC2" w:rsidP="00296EC2">
      <w:pPr>
        <w:shd w:val="clear" w:color="auto" w:fill="FFFFFF"/>
        <w:spacing w:before="120" w:after="0" w:line="240" w:lineRule="auto"/>
        <w:ind w:left="1440"/>
        <w:jc w:val="both"/>
        <w:rPr>
          <w:rFonts w:ascii="Times New Roman" w:eastAsia="Times New Roman" w:hAnsi="Times New Roman" w:cs="Times New Roman"/>
          <w:color w:val="222222"/>
          <w:spacing w:val="-3"/>
          <w:sz w:val="24"/>
          <w:szCs w:val="24"/>
        </w:rPr>
      </w:pPr>
      <w:proofErr w:type="gramStart"/>
      <w:r w:rsidRPr="00296EC2">
        <w:rPr>
          <w:rFonts w:ascii="Calibri" w:eastAsia="Times New Roman" w:hAnsi="Calibri" w:cs="Calibri"/>
          <w:color w:val="000000"/>
          <w:spacing w:val="-3"/>
          <w:sz w:val="24"/>
          <w:szCs w:val="24"/>
          <w:lang w:val="en-CA"/>
        </w:rPr>
        <w:t xml:space="preserve">2,   </w:t>
      </w:r>
      <w:proofErr w:type="gramEnd"/>
      <w:r w:rsidRPr="00296EC2">
        <w:rPr>
          <w:rFonts w:ascii="Calibri" w:eastAsia="Times New Roman" w:hAnsi="Calibri" w:cs="Calibri"/>
          <w:color w:val="000000"/>
          <w:spacing w:val="-3"/>
          <w:sz w:val="24"/>
          <w:szCs w:val="24"/>
          <w:lang w:val="en-CA"/>
        </w:rPr>
        <w:t>Peraluminous (two-mica granite) magmatism related to flat subduction. </w:t>
      </w:r>
    </w:p>
    <w:p w14:paraId="2196C6E2" w14:textId="77777777" w:rsidR="00296EC2" w:rsidRPr="00296EC2" w:rsidRDefault="00296EC2" w:rsidP="00296EC2">
      <w:pPr>
        <w:shd w:val="clear" w:color="auto" w:fill="FFFFFF"/>
        <w:spacing w:before="120" w:after="0" w:line="240" w:lineRule="auto"/>
        <w:ind w:left="144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3. Epeiric uplift and erosion forming major erosion surfaces beneath regional                      </w:t>
      </w:r>
      <w:proofErr w:type="spellStart"/>
      <w:r w:rsidRPr="00296EC2">
        <w:rPr>
          <w:rFonts w:ascii="Calibri" w:eastAsia="Times New Roman" w:hAnsi="Calibri" w:cs="Calibri"/>
          <w:color w:val="000000"/>
          <w:spacing w:val="-3"/>
          <w:sz w:val="24"/>
          <w:szCs w:val="24"/>
          <w:lang w:val="en-CA"/>
        </w:rPr>
        <w:t>unconformites</w:t>
      </w:r>
      <w:proofErr w:type="spellEnd"/>
      <w:r w:rsidRPr="00296EC2">
        <w:rPr>
          <w:rFonts w:ascii="Calibri" w:eastAsia="Times New Roman" w:hAnsi="Calibri" w:cs="Calibri"/>
          <w:color w:val="000000"/>
          <w:spacing w:val="-3"/>
          <w:sz w:val="24"/>
          <w:szCs w:val="24"/>
          <w:lang w:val="en-CA"/>
        </w:rPr>
        <w:t xml:space="preserve"> that separate the orogenic events. Mature continental sediments (sandstones or quartzites) generally occur on the unconformities, and immature </w:t>
      </w:r>
      <w:proofErr w:type="spellStart"/>
      <w:r w:rsidRPr="00296EC2">
        <w:rPr>
          <w:rFonts w:ascii="Calibri" w:eastAsia="Times New Roman" w:hAnsi="Calibri" w:cs="Calibri"/>
          <w:color w:val="000000"/>
          <w:spacing w:val="-3"/>
          <w:sz w:val="24"/>
          <w:szCs w:val="24"/>
          <w:lang w:val="en-CA"/>
        </w:rPr>
        <w:t>arksosic</w:t>
      </w:r>
      <w:proofErr w:type="spellEnd"/>
      <w:r w:rsidRPr="00296EC2">
        <w:rPr>
          <w:rFonts w:ascii="Calibri" w:eastAsia="Times New Roman" w:hAnsi="Calibri" w:cs="Calibri"/>
          <w:color w:val="000000"/>
          <w:spacing w:val="-3"/>
          <w:sz w:val="24"/>
          <w:szCs w:val="24"/>
          <w:lang w:val="en-CA"/>
        </w:rPr>
        <w:t xml:space="preserve"> clastic and chemical, carbonaceous, black shales were deposited, along with mafic magmatism, in the rift sequences.</w:t>
      </w:r>
    </w:p>
    <w:p w14:paraId="30588652"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4F25D6CC"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xml:space="preserve">Each of the above phases can be combined into an orogenic cycle, of which at least 14 are currently recognized. Thirteen of the 14 orogenic cycles are fundamentally compressive in nature, whereas one (the San Andreas orogeny) is fundamentally </w:t>
      </w:r>
      <w:proofErr w:type="spellStart"/>
      <w:r w:rsidRPr="00296EC2">
        <w:rPr>
          <w:rFonts w:ascii="Calibri" w:eastAsia="Times New Roman" w:hAnsi="Calibri" w:cs="Calibri"/>
          <w:color w:val="000000"/>
          <w:spacing w:val="-3"/>
          <w:sz w:val="24"/>
          <w:szCs w:val="24"/>
          <w:lang w:val="en-CA"/>
        </w:rPr>
        <w:t>transpressive</w:t>
      </w:r>
      <w:proofErr w:type="spellEnd"/>
      <w:r w:rsidRPr="00296EC2">
        <w:rPr>
          <w:rFonts w:ascii="Calibri" w:eastAsia="Times New Roman" w:hAnsi="Calibri" w:cs="Calibri"/>
          <w:color w:val="000000"/>
          <w:spacing w:val="-3"/>
          <w:sz w:val="24"/>
          <w:szCs w:val="24"/>
          <w:lang w:val="en-CA"/>
        </w:rPr>
        <w:t xml:space="preserve"> in </w:t>
      </w:r>
      <w:proofErr w:type="gramStart"/>
      <w:r w:rsidRPr="00296EC2">
        <w:rPr>
          <w:rFonts w:ascii="Calibri" w:eastAsia="Times New Roman" w:hAnsi="Calibri" w:cs="Calibri"/>
          <w:color w:val="000000"/>
          <w:spacing w:val="-3"/>
          <w:sz w:val="24"/>
          <w:szCs w:val="24"/>
          <w:lang w:val="en-CA"/>
        </w:rPr>
        <w:t>nature, and</w:t>
      </w:r>
      <w:proofErr w:type="gramEnd"/>
      <w:r w:rsidRPr="00296EC2">
        <w:rPr>
          <w:rFonts w:ascii="Calibri" w:eastAsia="Times New Roman" w:hAnsi="Calibri" w:cs="Calibri"/>
          <w:color w:val="000000"/>
          <w:spacing w:val="-3"/>
          <w:sz w:val="24"/>
          <w:szCs w:val="24"/>
          <w:lang w:val="en-CA"/>
        </w:rPr>
        <w:t xml:space="preserve"> can be divided into </w:t>
      </w:r>
      <w:proofErr w:type="spellStart"/>
      <w:r w:rsidRPr="00296EC2">
        <w:rPr>
          <w:rFonts w:ascii="Calibri" w:eastAsia="Times New Roman" w:hAnsi="Calibri" w:cs="Calibri"/>
          <w:color w:val="000000"/>
          <w:spacing w:val="-3"/>
          <w:sz w:val="24"/>
          <w:szCs w:val="24"/>
          <w:lang w:val="en-CA"/>
        </w:rPr>
        <w:t>transpressive</w:t>
      </w:r>
      <w:proofErr w:type="spellEnd"/>
      <w:r w:rsidRPr="00296EC2">
        <w:rPr>
          <w:rFonts w:ascii="Calibri" w:eastAsia="Times New Roman" w:hAnsi="Calibri" w:cs="Calibri"/>
          <w:color w:val="000000"/>
          <w:spacing w:val="-3"/>
          <w:sz w:val="24"/>
          <w:szCs w:val="24"/>
          <w:lang w:val="en-CA"/>
        </w:rPr>
        <w:t xml:space="preserve"> fold ranges (e.g., the transverse ranges of west-central Arizona) and </w:t>
      </w:r>
      <w:proofErr w:type="spellStart"/>
      <w:r w:rsidRPr="00296EC2">
        <w:rPr>
          <w:rFonts w:ascii="Calibri" w:eastAsia="Times New Roman" w:hAnsi="Calibri" w:cs="Calibri"/>
          <w:color w:val="000000"/>
          <w:spacing w:val="-3"/>
          <w:sz w:val="24"/>
          <w:szCs w:val="24"/>
          <w:lang w:val="en-CA"/>
        </w:rPr>
        <w:t>transtensional</w:t>
      </w:r>
      <w:proofErr w:type="spellEnd"/>
      <w:r w:rsidRPr="00296EC2">
        <w:rPr>
          <w:rFonts w:ascii="Calibri" w:eastAsia="Times New Roman" w:hAnsi="Calibri" w:cs="Calibri"/>
          <w:color w:val="000000"/>
          <w:spacing w:val="-3"/>
          <w:sz w:val="24"/>
          <w:szCs w:val="24"/>
          <w:lang w:val="en-CA"/>
        </w:rPr>
        <w:t>, horst-graben domains.</w:t>
      </w:r>
    </w:p>
    <w:p w14:paraId="79AE363C"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w:t>
      </w:r>
    </w:p>
    <w:p w14:paraId="2B638BBE" w14:textId="77777777" w:rsidR="00296EC2" w:rsidRPr="00296EC2" w:rsidRDefault="00296EC2" w:rsidP="00296EC2">
      <w:pPr>
        <w:shd w:val="clear" w:color="auto" w:fill="FFFFFF"/>
        <w:spacing w:after="0" w:line="240" w:lineRule="auto"/>
        <w:ind w:firstLine="720"/>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sz w:val="24"/>
          <w:szCs w:val="24"/>
          <w:lang w:val="en-CA"/>
        </w:rPr>
        <w:t xml:space="preserve">The variety of resource specialties in Table 1 shows that Arizona is not characterized by a preferred metallogenic bias, such as copper. For example, through geologic time, only two porphyry copper events (early Jurassic and Laramide) are associated with </w:t>
      </w:r>
      <w:proofErr w:type="spellStart"/>
      <w:r w:rsidRPr="00296EC2">
        <w:rPr>
          <w:rFonts w:ascii="Calibri" w:eastAsia="Times New Roman" w:hAnsi="Calibri" w:cs="Calibri"/>
          <w:color w:val="000000"/>
          <w:spacing w:val="-3"/>
          <w:sz w:val="24"/>
          <w:szCs w:val="24"/>
          <w:lang w:val="en-CA"/>
        </w:rPr>
        <w:t>metaluminous</w:t>
      </w:r>
      <w:proofErr w:type="spellEnd"/>
      <w:r w:rsidRPr="00296EC2">
        <w:rPr>
          <w:rFonts w:ascii="Calibri" w:eastAsia="Times New Roman" w:hAnsi="Calibri" w:cs="Calibri"/>
          <w:color w:val="000000"/>
          <w:spacing w:val="-3"/>
          <w:sz w:val="24"/>
          <w:szCs w:val="24"/>
          <w:lang w:val="en-CA"/>
        </w:rPr>
        <w:t xml:space="preserve"> magmatism in the geologic record, whereas at least five tungsten (minor beryllium) events are associated with granite systems of peraluminous affinity. Hence, Arizona through time is characterized by metallogenic </w:t>
      </w:r>
      <w:r w:rsidRPr="00296EC2">
        <w:rPr>
          <w:rFonts w:ascii="Calibri" w:eastAsia="Times New Roman" w:hAnsi="Calibri" w:cs="Calibri"/>
          <w:color w:val="000000"/>
          <w:spacing w:val="-3"/>
          <w:sz w:val="24"/>
          <w:szCs w:val="24"/>
          <w:lang w:val="en-CA"/>
        </w:rPr>
        <w:lastRenderedPageBreak/>
        <w:t>heterogeneity and should not be considered only a copper metallogenic province. The porphyry copper cluster instead should be considered a region of smaller copper clusters interspersed with lead-zinc-silver and tungsten (beryllium) clusters.</w:t>
      </w:r>
    </w:p>
    <w:p w14:paraId="24F4B9E3" w14:textId="77777777" w:rsidR="00296EC2" w:rsidRPr="00296EC2" w:rsidRDefault="00296EC2" w:rsidP="00296EC2">
      <w:pPr>
        <w:shd w:val="clear" w:color="auto" w:fill="FFFFFF"/>
        <w:spacing w:after="0" w:line="240" w:lineRule="auto"/>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222222"/>
          <w:spacing w:val="-3"/>
          <w:lang w:val="en-CA"/>
        </w:rPr>
        <w:t> </w:t>
      </w:r>
    </w:p>
    <w:p w14:paraId="5B8C0657" w14:textId="77777777" w:rsidR="00296EC2" w:rsidRPr="00296EC2" w:rsidRDefault="00296EC2" w:rsidP="00296EC2">
      <w:pPr>
        <w:shd w:val="clear" w:color="auto" w:fill="FFFFFF"/>
        <w:spacing w:after="200" w:line="240" w:lineRule="auto"/>
        <w:ind w:left="720"/>
        <w:rPr>
          <w:rFonts w:ascii="Times New Roman" w:eastAsia="Times New Roman" w:hAnsi="Times New Roman" w:cs="Times New Roman"/>
          <w:b/>
          <w:bCs/>
          <w:color w:val="222222"/>
          <w:sz w:val="24"/>
          <w:szCs w:val="24"/>
        </w:rPr>
      </w:pPr>
      <w:r w:rsidRPr="00296EC2">
        <w:rPr>
          <w:rFonts w:ascii="Times New Roman" w:eastAsia="Times New Roman" w:hAnsi="Times New Roman" w:cs="Times New Roman"/>
          <w:b/>
          <w:bCs/>
          <w:color w:val="000000"/>
        </w:rPr>
        <w:t>ATTACHED PDF</w:t>
      </w:r>
      <w:r w:rsidRPr="00296EC2">
        <w:rPr>
          <w:rFonts w:ascii="Times New Roman" w:eastAsia="Times New Roman" w:hAnsi="Times New Roman" w:cs="Times New Roman"/>
          <w:color w:val="000000"/>
        </w:rPr>
        <w:t>: </w:t>
      </w:r>
      <w:r w:rsidRPr="00296EC2">
        <w:rPr>
          <w:rFonts w:ascii="Times New Roman" w:eastAsia="Times New Roman" w:hAnsi="Times New Roman" w:cs="Times New Roman"/>
          <w:color w:val="000000"/>
          <w:sz w:val="24"/>
          <w:szCs w:val="24"/>
        </w:rPr>
        <w:t xml:space="preserve">Table 1.  Summary of </w:t>
      </w:r>
      <w:proofErr w:type="spellStart"/>
      <w:r w:rsidRPr="00296EC2">
        <w:rPr>
          <w:rFonts w:ascii="Times New Roman" w:eastAsia="Times New Roman" w:hAnsi="Times New Roman" w:cs="Times New Roman"/>
          <w:color w:val="000000"/>
          <w:sz w:val="24"/>
          <w:szCs w:val="24"/>
        </w:rPr>
        <w:t>orogenies</w:t>
      </w:r>
      <w:proofErr w:type="spellEnd"/>
      <w:r w:rsidRPr="00296EC2">
        <w:rPr>
          <w:rFonts w:ascii="Times New Roman" w:eastAsia="Times New Roman" w:hAnsi="Times New Roman" w:cs="Times New Roman"/>
          <w:color w:val="000000"/>
          <w:sz w:val="24"/>
          <w:szCs w:val="24"/>
        </w:rPr>
        <w:t>, and associated magmatism, age, resources, examples, and minerals</w:t>
      </w:r>
    </w:p>
    <w:p w14:paraId="25DC1F62" w14:textId="77777777" w:rsidR="00296EC2" w:rsidRPr="00296EC2" w:rsidRDefault="00296EC2" w:rsidP="00296EC2">
      <w:pPr>
        <w:shd w:val="clear" w:color="auto" w:fill="FFFFFF"/>
        <w:spacing w:after="200" w:line="240" w:lineRule="auto"/>
        <w:rPr>
          <w:rFonts w:ascii="Times New Roman" w:eastAsia="Times New Roman" w:hAnsi="Times New Roman" w:cs="Times New Roman"/>
          <w:color w:val="222222"/>
          <w:sz w:val="18"/>
          <w:szCs w:val="18"/>
        </w:rPr>
      </w:pPr>
      <w:r w:rsidRPr="00296EC2">
        <w:rPr>
          <w:rFonts w:ascii="Times New Roman" w:eastAsia="Times New Roman" w:hAnsi="Times New Roman" w:cs="Times New Roman"/>
          <w:b/>
          <w:bCs/>
          <w:color w:val="000000"/>
          <w:sz w:val="24"/>
          <w:szCs w:val="24"/>
        </w:rPr>
        <w:t>Table 1 Notes</w:t>
      </w:r>
      <w:r w:rsidRPr="00296EC2">
        <w:rPr>
          <w:rFonts w:ascii="Times New Roman" w:eastAsia="Times New Roman" w:hAnsi="Times New Roman" w:cs="Times New Roman"/>
          <w:color w:val="000000"/>
        </w:rPr>
        <w:t>: MC=</w:t>
      </w:r>
      <w:proofErr w:type="spellStart"/>
      <w:r w:rsidRPr="00296EC2">
        <w:rPr>
          <w:rFonts w:ascii="Times New Roman" w:eastAsia="Times New Roman" w:hAnsi="Times New Roman" w:cs="Times New Roman"/>
          <w:color w:val="000000"/>
        </w:rPr>
        <w:t>Metaluminous</w:t>
      </w:r>
      <w:proofErr w:type="spellEnd"/>
      <w:r w:rsidRPr="00296EC2">
        <w:rPr>
          <w:rFonts w:ascii="Times New Roman" w:eastAsia="Times New Roman" w:hAnsi="Times New Roman" w:cs="Times New Roman"/>
          <w:color w:val="000000"/>
        </w:rPr>
        <w:t xml:space="preserve"> Calcic, MCA=</w:t>
      </w:r>
      <w:proofErr w:type="spellStart"/>
      <w:r w:rsidRPr="00296EC2">
        <w:rPr>
          <w:rFonts w:ascii="Times New Roman" w:eastAsia="Times New Roman" w:hAnsi="Times New Roman" w:cs="Times New Roman"/>
          <w:color w:val="000000"/>
        </w:rPr>
        <w:t>Metaluminous</w:t>
      </w:r>
      <w:proofErr w:type="spellEnd"/>
      <w:r w:rsidRPr="00296EC2">
        <w:rPr>
          <w:rFonts w:ascii="Times New Roman" w:eastAsia="Times New Roman" w:hAnsi="Times New Roman" w:cs="Times New Roman"/>
          <w:color w:val="000000"/>
        </w:rPr>
        <w:t xml:space="preserve"> Calc-alkalic, MAC=</w:t>
      </w:r>
      <w:proofErr w:type="spellStart"/>
      <w:r w:rsidRPr="00296EC2">
        <w:rPr>
          <w:rFonts w:ascii="Times New Roman" w:eastAsia="Times New Roman" w:hAnsi="Times New Roman" w:cs="Times New Roman"/>
          <w:color w:val="000000"/>
        </w:rPr>
        <w:t>Metaluminous</w:t>
      </w:r>
      <w:proofErr w:type="spellEnd"/>
      <w:r w:rsidRPr="00296EC2">
        <w:rPr>
          <w:rFonts w:ascii="Times New Roman" w:eastAsia="Times New Roman" w:hAnsi="Times New Roman" w:cs="Times New Roman"/>
          <w:color w:val="000000"/>
        </w:rPr>
        <w:t xml:space="preserve"> Alkali-calcic, MQA=</w:t>
      </w:r>
      <w:proofErr w:type="spellStart"/>
      <w:r w:rsidRPr="00296EC2">
        <w:rPr>
          <w:rFonts w:ascii="Times New Roman" w:eastAsia="Times New Roman" w:hAnsi="Times New Roman" w:cs="Times New Roman"/>
          <w:color w:val="000000"/>
        </w:rPr>
        <w:t>Metaluminous</w:t>
      </w:r>
      <w:proofErr w:type="spellEnd"/>
      <w:r w:rsidRPr="00296EC2">
        <w:rPr>
          <w:rFonts w:ascii="Times New Roman" w:eastAsia="Times New Roman" w:hAnsi="Times New Roman" w:cs="Times New Roman"/>
          <w:color w:val="000000"/>
        </w:rPr>
        <w:t xml:space="preserve"> Quartz Alkalic, MNA=</w:t>
      </w:r>
      <w:proofErr w:type="spellStart"/>
      <w:r w:rsidRPr="00296EC2">
        <w:rPr>
          <w:rFonts w:ascii="Times New Roman" w:eastAsia="Times New Roman" w:hAnsi="Times New Roman" w:cs="Times New Roman"/>
          <w:color w:val="000000"/>
        </w:rPr>
        <w:t>Metaluminous</w:t>
      </w:r>
      <w:proofErr w:type="spellEnd"/>
      <w:r w:rsidRPr="00296EC2">
        <w:rPr>
          <w:rFonts w:ascii="Times New Roman" w:eastAsia="Times New Roman" w:hAnsi="Times New Roman" w:cs="Times New Roman"/>
          <w:color w:val="000000"/>
        </w:rPr>
        <w:t xml:space="preserve"> Nepheline Alkalic; PC=Peraluminous Calcic, PCA=Peraluminous Calc-alkalic, PAC=Peraluminous Alkali-calcic; UDH =Ultra-deep Hydrothermal; VMS=Volcanogenic Massive Sulfide; BIF=Banded Iron Formation; Ma=Million years ago</w:t>
      </w:r>
    </w:p>
    <w:p w14:paraId="08ACBC09" w14:textId="77777777" w:rsidR="00296EC2" w:rsidRPr="00296EC2" w:rsidRDefault="00296EC2" w:rsidP="00296EC2">
      <w:pPr>
        <w:shd w:val="clear" w:color="auto" w:fill="FFFFFF"/>
        <w:spacing w:after="0" w:line="240" w:lineRule="auto"/>
        <w:jc w:val="both"/>
        <w:rPr>
          <w:rFonts w:ascii="Times New Roman" w:eastAsia="Times New Roman" w:hAnsi="Times New Roman" w:cs="Times New Roman"/>
          <w:color w:val="222222"/>
          <w:spacing w:val="-3"/>
          <w:sz w:val="24"/>
          <w:szCs w:val="24"/>
        </w:rPr>
      </w:pPr>
      <w:r w:rsidRPr="00296EC2">
        <w:rPr>
          <w:rFonts w:ascii="Calibri" w:eastAsia="Times New Roman" w:hAnsi="Calibri" w:cs="Calibri"/>
          <w:color w:val="000000"/>
          <w:spacing w:val="-3"/>
          <w:lang w:val="en-CA"/>
        </w:rPr>
        <w:t> </w:t>
      </w:r>
    </w:p>
    <w:p w14:paraId="65B6590B" w14:textId="77777777" w:rsidR="00296EC2" w:rsidRPr="00296EC2" w:rsidRDefault="00296EC2" w:rsidP="00296EC2">
      <w:pPr>
        <w:shd w:val="clear" w:color="auto" w:fill="FFFFFF"/>
        <w:spacing w:after="0" w:line="240" w:lineRule="auto"/>
        <w:ind w:left="720"/>
        <w:rPr>
          <w:rFonts w:ascii="Times New Roman" w:eastAsia="Times New Roman" w:hAnsi="Times New Roman" w:cs="Times New Roman"/>
          <w:color w:val="222222"/>
          <w:sz w:val="18"/>
          <w:szCs w:val="18"/>
        </w:rPr>
      </w:pPr>
      <w:r w:rsidRPr="00296EC2">
        <w:rPr>
          <w:rFonts w:ascii="Calibri" w:eastAsia="Times New Roman" w:hAnsi="Calibri" w:cs="Calibri"/>
          <w:color w:val="000000"/>
          <w:sz w:val="20"/>
          <w:szCs w:val="20"/>
        </w:rPr>
        <w:t xml:space="preserve">Keith, S.B. Gest, D.E., DeWitt, E., Toll, N.W., and Everson, B.A., 1983, Metallic mineral districts and production in Arizona:  Arizona Bureau of </w:t>
      </w:r>
      <w:proofErr w:type="spellStart"/>
      <w:r w:rsidRPr="00296EC2">
        <w:rPr>
          <w:rFonts w:ascii="Calibri" w:eastAsia="Times New Roman" w:hAnsi="Calibri" w:cs="Calibri"/>
          <w:color w:val="000000"/>
          <w:sz w:val="20"/>
          <w:szCs w:val="20"/>
        </w:rPr>
        <w:t>Geolgy</w:t>
      </w:r>
      <w:proofErr w:type="spellEnd"/>
      <w:r w:rsidRPr="00296EC2">
        <w:rPr>
          <w:rFonts w:ascii="Calibri" w:eastAsia="Times New Roman" w:hAnsi="Calibri" w:cs="Calibri"/>
          <w:color w:val="000000"/>
          <w:sz w:val="20"/>
          <w:szCs w:val="20"/>
        </w:rPr>
        <w:t xml:space="preserve"> and Mineral Technology (now Arizona Geological Survey), Bulletin 194, 58 p., 1:1,000,000 map.</w:t>
      </w:r>
    </w:p>
    <w:p w14:paraId="1F82E88B" w14:textId="77777777" w:rsidR="00296EC2" w:rsidRPr="00296EC2" w:rsidRDefault="00296EC2" w:rsidP="00296EC2">
      <w:pPr>
        <w:shd w:val="clear" w:color="auto" w:fill="FFFFFF"/>
        <w:spacing w:after="0" w:line="240" w:lineRule="auto"/>
        <w:ind w:left="720"/>
        <w:rPr>
          <w:rFonts w:ascii="Times New Roman" w:eastAsia="Times New Roman" w:hAnsi="Times New Roman" w:cs="Times New Roman"/>
          <w:color w:val="222222"/>
          <w:sz w:val="18"/>
          <w:szCs w:val="18"/>
        </w:rPr>
      </w:pPr>
      <w:r w:rsidRPr="00296EC2">
        <w:rPr>
          <w:rFonts w:ascii="Calibri" w:eastAsia="Times New Roman" w:hAnsi="Calibri" w:cs="Calibri"/>
          <w:color w:val="000000"/>
          <w:sz w:val="20"/>
          <w:szCs w:val="20"/>
        </w:rPr>
        <w:t xml:space="preserve">Keith, Stanley B., and Wilt, J.C., 1986, Laramide orogeny in Arizona and adjacent regions: a </w:t>
      </w:r>
      <w:proofErr w:type="spellStart"/>
      <w:r w:rsidRPr="00296EC2">
        <w:rPr>
          <w:rFonts w:ascii="Calibri" w:eastAsia="Times New Roman" w:hAnsi="Calibri" w:cs="Calibri"/>
          <w:color w:val="000000"/>
          <w:sz w:val="20"/>
          <w:szCs w:val="20"/>
        </w:rPr>
        <w:t>strato</w:t>
      </w:r>
      <w:proofErr w:type="spellEnd"/>
      <w:r w:rsidRPr="00296EC2">
        <w:rPr>
          <w:rFonts w:ascii="Calibri" w:eastAsia="Times New Roman" w:hAnsi="Calibri" w:cs="Calibri"/>
          <w:color w:val="000000"/>
          <w:sz w:val="20"/>
          <w:szCs w:val="20"/>
        </w:rPr>
        <w:t>-tectonic synthesis, in Beatty, B., and Wilkinson, P.A.K., editors, Frontiers in geology and ore deposits of Arizona and the Southwest: Arizona Geological Society Digest, v. 16, p. 502-554.</w:t>
      </w:r>
    </w:p>
    <w:p w14:paraId="7C1FE566" w14:textId="77777777" w:rsidR="00296EC2" w:rsidRPr="00296EC2" w:rsidRDefault="00296EC2" w:rsidP="00296EC2">
      <w:pPr>
        <w:shd w:val="clear" w:color="auto" w:fill="FFFFFF"/>
        <w:spacing w:after="0" w:line="240" w:lineRule="auto"/>
        <w:ind w:left="720"/>
        <w:rPr>
          <w:rFonts w:ascii="Times New Roman" w:eastAsia="Times New Roman" w:hAnsi="Times New Roman" w:cs="Times New Roman"/>
          <w:color w:val="222222"/>
          <w:sz w:val="18"/>
          <w:szCs w:val="18"/>
        </w:rPr>
      </w:pPr>
      <w:r w:rsidRPr="00296EC2">
        <w:rPr>
          <w:rFonts w:ascii="Calibri" w:eastAsia="Times New Roman" w:hAnsi="Calibri" w:cs="Calibri"/>
          <w:color w:val="000000"/>
          <w:sz w:val="20"/>
          <w:szCs w:val="20"/>
        </w:rPr>
        <w:t xml:space="preserve">Keith, S. B., Laux, D. P., Maughan, G., Schwab, K., Ruff, S., Swan, M. M., Abbott, E. W., and Friberg, S., 1991, Magma series and metallogeny; a case study from Nevada and environs, in Buffa, Ruth H., and </w:t>
      </w:r>
      <w:proofErr w:type="spellStart"/>
      <w:r w:rsidRPr="00296EC2">
        <w:rPr>
          <w:rFonts w:ascii="Calibri" w:eastAsia="Times New Roman" w:hAnsi="Calibri" w:cs="Calibri"/>
          <w:color w:val="000000"/>
          <w:sz w:val="20"/>
          <w:szCs w:val="20"/>
        </w:rPr>
        <w:t>Coyner</w:t>
      </w:r>
      <w:proofErr w:type="spellEnd"/>
      <w:r w:rsidRPr="00296EC2">
        <w:rPr>
          <w:rFonts w:ascii="Calibri" w:eastAsia="Times New Roman" w:hAnsi="Calibri" w:cs="Calibri"/>
          <w:color w:val="000000"/>
          <w:sz w:val="20"/>
          <w:szCs w:val="20"/>
        </w:rPr>
        <w:t>, Alan R., editors, Geology and ore deposits of the Great Basin; field trip guidebook compendium: Geologic Society of Nevada, Reno, NV, p.404-493.</w:t>
      </w:r>
    </w:p>
    <w:p w14:paraId="6EB07024" w14:textId="77777777" w:rsidR="00296EC2" w:rsidRPr="00296EC2" w:rsidRDefault="00296EC2" w:rsidP="00296EC2">
      <w:pPr>
        <w:shd w:val="clear" w:color="auto" w:fill="FFFFFF"/>
        <w:spacing w:after="0" w:line="240" w:lineRule="auto"/>
        <w:ind w:left="720"/>
        <w:rPr>
          <w:rFonts w:ascii="Times New Roman" w:eastAsia="Times New Roman" w:hAnsi="Times New Roman" w:cs="Times New Roman"/>
          <w:color w:val="222222"/>
          <w:sz w:val="18"/>
          <w:szCs w:val="18"/>
        </w:rPr>
      </w:pPr>
      <w:r w:rsidRPr="00296EC2">
        <w:rPr>
          <w:rFonts w:ascii="Calibri" w:eastAsia="Times New Roman" w:hAnsi="Calibri" w:cs="Calibri"/>
          <w:color w:val="000000"/>
          <w:sz w:val="20"/>
          <w:szCs w:val="20"/>
        </w:rPr>
        <w:t>Keith, S. B., and Swan, M. M., 1995, Tectonic setting, petrology, and genesis of the Laramide porphyry copper cluster of Arizona, Sonora, and New Mexico: Arizona Geological Society Digest 20, p. 339-346.</w:t>
      </w:r>
    </w:p>
    <w:p w14:paraId="01CAF91D" w14:textId="77777777" w:rsidR="00296EC2" w:rsidRPr="00296EC2" w:rsidRDefault="00296EC2" w:rsidP="00296EC2">
      <w:pPr>
        <w:shd w:val="clear" w:color="auto" w:fill="FFFFFF"/>
        <w:spacing w:after="0" w:line="240" w:lineRule="auto"/>
        <w:ind w:left="720"/>
        <w:rPr>
          <w:rFonts w:ascii="Times New Roman" w:eastAsia="Times New Roman" w:hAnsi="Times New Roman" w:cs="Times New Roman"/>
          <w:color w:val="222222"/>
          <w:sz w:val="18"/>
          <w:szCs w:val="18"/>
        </w:rPr>
      </w:pPr>
      <w:r w:rsidRPr="00296EC2">
        <w:rPr>
          <w:rFonts w:ascii="Calibri" w:eastAsia="Times New Roman" w:hAnsi="Calibri" w:cs="Calibri"/>
          <w:color w:val="000000"/>
          <w:sz w:val="20"/>
          <w:szCs w:val="20"/>
        </w:rPr>
        <w:t xml:space="preserve">Keith, S.B. and Swan, M.M., 1996, The Great Laramide Porphyry Copper Cluster of Arizona, Sonora, and New Mexico: the tectonic setting, petrology, and genesis of a world class porphyry metal cluster, in </w:t>
      </w:r>
      <w:proofErr w:type="spellStart"/>
      <w:r w:rsidRPr="00296EC2">
        <w:rPr>
          <w:rFonts w:ascii="Calibri" w:eastAsia="Times New Roman" w:hAnsi="Calibri" w:cs="Calibri"/>
          <w:color w:val="000000"/>
          <w:sz w:val="20"/>
          <w:szCs w:val="20"/>
        </w:rPr>
        <w:t>Coyner</w:t>
      </w:r>
      <w:proofErr w:type="spellEnd"/>
      <w:r w:rsidRPr="00296EC2">
        <w:rPr>
          <w:rFonts w:ascii="Calibri" w:eastAsia="Times New Roman" w:hAnsi="Calibri" w:cs="Calibri"/>
          <w:color w:val="000000"/>
          <w:sz w:val="20"/>
          <w:szCs w:val="20"/>
        </w:rPr>
        <w:t xml:space="preserve">, A.R., and Fahey, P.L., eds., Geology and Ore Deposits of the American Cordillera: Geological Society of Nevada Symposium Proceedings, Reno/Sparks, Nevada, </w:t>
      </w:r>
      <w:proofErr w:type="gramStart"/>
      <w:r w:rsidRPr="00296EC2">
        <w:rPr>
          <w:rFonts w:ascii="Calibri" w:eastAsia="Times New Roman" w:hAnsi="Calibri" w:cs="Calibri"/>
          <w:color w:val="000000"/>
          <w:sz w:val="20"/>
          <w:szCs w:val="20"/>
        </w:rPr>
        <w:t>April,</w:t>
      </w:r>
      <w:proofErr w:type="gramEnd"/>
      <w:r w:rsidRPr="00296EC2">
        <w:rPr>
          <w:rFonts w:ascii="Calibri" w:eastAsia="Times New Roman" w:hAnsi="Calibri" w:cs="Calibri"/>
          <w:color w:val="000000"/>
          <w:sz w:val="20"/>
          <w:szCs w:val="20"/>
        </w:rPr>
        <w:t xml:space="preserve"> 1995, p 1-80.</w:t>
      </w:r>
    </w:p>
    <w:p w14:paraId="62C36D87" w14:textId="77777777" w:rsidR="00296EC2" w:rsidRPr="00296EC2" w:rsidRDefault="00296EC2" w:rsidP="00296EC2">
      <w:pPr>
        <w:shd w:val="clear" w:color="auto" w:fill="FFFFFF"/>
        <w:spacing w:after="0" w:line="240" w:lineRule="auto"/>
        <w:ind w:left="720"/>
        <w:rPr>
          <w:rFonts w:ascii="Times New Roman" w:eastAsia="Times New Roman" w:hAnsi="Times New Roman" w:cs="Times New Roman"/>
          <w:color w:val="222222"/>
          <w:sz w:val="18"/>
          <w:szCs w:val="18"/>
        </w:rPr>
      </w:pPr>
      <w:r w:rsidRPr="00296EC2">
        <w:rPr>
          <w:rFonts w:ascii="Calibri" w:eastAsia="Times New Roman" w:hAnsi="Calibri" w:cs="Calibri"/>
          <w:color w:val="000000"/>
          <w:sz w:val="20"/>
          <w:szCs w:val="20"/>
        </w:rPr>
        <w:t xml:space="preserve">Keith, S.B., Swan, M., </w:t>
      </w:r>
      <w:proofErr w:type="spellStart"/>
      <w:r w:rsidRPr="00296EC2">
        <w:rPr>
          <w:rFonts w:ascii="Calibri" w:eastAsia="Times New Roman" w:hAnsi="Calibri" w:cs="Calibri"/>
          <w:color w:val="000000"/>
          <w:sz w:val="20"/>
          <w:szCs w:val="20"/>
        </w:rPr>
        <w:t>Rueslatten</w:t>
      </w:r>
      <w:proofErr w:type="spellEnd"/>
      <w:r w:rsidRPr="00296EC2">
        <w:rPr>
          <w:rFonts w:ascii="Calibri" w:eastAsia="Times New Roman" w:hAnsi="Calibri" w:cs="Calibri"/>
          <w:color w:val="000000"/>
          <w:sz w:val="20"/>
          <w:szCs w:val="20"/>
        </w:rPr>
        <w:t xml:space="preserve">, H., Johnsen, H.K., and Page, N., 2008, The </w:t>
      </w:r>
      <w:proofErr w:type="spellStart"/>
      <w:r w:rsidRPr="00296EC2">
        <w:rPr>
          <w:rFonts w:ascii="Calibri" w:eastAsia="Times New Roman" w:hAnsi="Calibri" w:cs="Calibri"/>
          <w:color w:val="000000"/>
          <w:sz w:val="20"/>
          <w:szCs w:val="20"/>
        </w:rPr>
        <w:t>serpentosphere</w:t>
      </w:r>
      <w:proofErr w:type="spellEnd"/>
      <w:r w:rsidRPr="00296EC2">
        <w:rPr>
          <w:rFonts w:ascii="Calibri" w:eastAsia="Times New Roman" w:hAnsi="Calibri" w:cs="Calibri"/>
          <w:color w:val="000000"/>
          <w:sz w:val="20"/>
          <w:szCs w:val="20"/>
        </w:rPr>
        <w:t>:  Geological Society of Nevada newsletter, v. 23, no. 3, p. 3.</w:t>
      </w:r>
    </w:p>
    <w:p w14:paraId="7E4DC363"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 </w:t>
      </w:r>
    </w:p>
    <w:p w14:paraId="084D9AAA"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 </w:t>
      </w:r>
    </w:p>
    <w:p w14:paraId="24331C3D"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3B3838"/>
          <w:sz w:val="18"/>
          <w:szCs w:val="18"/>
        </w:rPr>
        <w:t>     F. Michael Conway</w:t>
      </w:r>
    </w:p>
    <w:p w14:paraId="57CF17A4"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3B3838"/>
          <w:sz w:val="18"/>
          <w:szCs w:val="18"/>
        </w:rPr>
        <w:t>     Sr. Research Scientist</w:t>
      </w:r>
    </w:p>
    <w:p w14:paraId="3ECAD35B"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3B3838"/>
          <w:sz w:val="18"/>
          <w:szCs w:val="18"/>
        </w:rPr>
        <w:t>     Arizona Geological Survey</w:t>
      </w:r>
    </w:p>
    <w:p w14:paraId="061B2FAA"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3B3838"/>
          <w:sz w:val="18"/>
          <w:szCs w:val="18"/>
        </w:rPr>
        <w:t>     The University of Arizona</w:t>
      </w:r>
    </w:p>
    <w:p w14:paraId="5C004BEC"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3B3838"/>
          <w:sz w:val="18"/>
          <w:szCs w:val="18"/>
        </w:rPr>
        <w:t>     1955 E 6</w:t>
      </w:r>
      <w:r w:rsidRPr="00296EC2">
        <w:rPr>
          <w:rFonts w:ascii="Arial" w:eastAsia="Times New Roman" w:hAnsi="Arial" w:cs="Arial"/>
          <w:color w:val="3B3838"/>
          <w:sz w:val="18"/>
          <w:szCs w:val="18"/>
          <w:vertAlign w:val="superscript"/>
        </w:rPr>
        <w:t>th</w:t>
      </w:r>
      <w:r w:rsidRPr="00296EC2">
        <w:rPr>
          <w:rFonts w:ascii="Arial" w:eastAsia="Times New Roman" w:hAnsi="Arial" w:cs="Arial"/>
          <w:color w:val="3B3838"/>
          <w:sz w:val="18"/>
          <w:szCs w:val="18"/>
        </w:rPr>
        <w:t> Street, PO Box 210184   Tucson, AZ  85721</w:t>
      </w:r>
    </w:p>
    <w:p w14:paraId="126D7B4C"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3B3838"/>
          <w:sz w:val="18"/>
          <w:szCs w:val="18"/>
        </w:rPr>
        <w:t>      </w:t>
      </w:r>
      <w:hyperlink r:id="rId5" w:tgtFrame="_blank" w:history="1">
        <w:r w:rsidRPr="00296EC2">
          <w:rPr>
            <w:rFonts w:ascii="Arial" w:eastAsia="Times New Roman" w:hAnsi="Arial" w:cs="Arial"/>
            <w:color w:val="1155CC"/>
            <w:sz w:val="18"/>
            <w:szCs w:val="18"/>
            <w:u w:val="single"/>
          </w:rPr>
          <w:t>fmconway@arizona.edu</w:t>
        </w:r>
      </w:hyperlink>
      <w:r w:rsidRPr="00296EC2">
        <w:rPr>
          <w:rFonts w:ascii="Arial" w:eastAsia="Times New Roman" w:hAnsi="Arial" w:cs="Arial"/>
          <w:color w:val="3B3838"/>
          <w:sz w:val="18"/>
          <w:szCs w:val="18"/>
        </w:rPr>
        <w:t>   cell: 520.971.3688</w:t>
      </w:r>
    </w:p>
    <w:p w14:paraId="0D1FCEEE"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24"/>
          <w:szCs w:val="24"/>
        </w:rPr>
        <w:t> </w:t>
      </w:r>
    </w:p>
    <w:p w14:paraId="18523C68"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b/>
          <w:bCs/>
          <w:color w:val="222222"/>
          <w:sz w:val="16"/>
          <w:szCs w:val="16"/>
        </w:rPr>
        <w:t>AZGS Websites</w:t>
      </w:r>
    </w:p>
    <w:p w14:paraId="25E4213F"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6"/>
          <w:szCs w:val="16"/>
        </w:rPr>
        <w:t>        </w:t>
      </w:r>
      <w:hyperlink r:id="rId6" w:tgtFrame="_blank" w:history="1">
        <w:r w:rsidRPr="00296EC2">
          <w:rPr>
            <w:rFonts w:ascii="Arial" w:eastAsia="Times New Roman" w:hAnsi="Arial" w:cs="Arial"/>
            <w:color w:val="1155CC"/>
            <w:sz w:val="16"/>
            <w:szCs w:val="16"/>
            <w:u w:val="single"/>
          </w:rPr>
          <w:t>AZGS Portal</w:t>
        </w:r>
      </w:hyperlink>
    </w:p>
    <w:p w14:paraId="3BDC41F5"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6"/>
          <w:szCs w:val="16"/>
        </w:rPr>
        <w:t>        </w:t>
      </w:r>
      <w:hyperlink r:id="rId7" w:tgtFrame="_blank" w:history="1">
        <w:r w:rsidRPr="00296EC2">
          <w:rPr>
            <w:rFonts w:ascii="Arial" w:eastAsia="Times New Roman" w:hAnsi="Arial" w:cs="Arial"/>
            <w:color w:val="1155CC"/>
            <w:sz w:val="16"/>
            <w:szCs w:val="16"/>
            <w:u w:val="single"/>
          </w:rPr>
          <w:t>AZGS Mining Data</w:t>
        </w:r>
      </w:hyperlink>
    </w:p>
    <w:p w14:paraId="0BDB2634"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6"/>
          <w:szCs w:val="16"/>
        </w:rPr>
        <w:t>        </w:t>
      </w:r>
      <w:hyperlink r:id="rId8" w:tgtFrame="_blank" w:history="1">
        <w:r w:rsidRPr="00296EC2">
          <w:rPr>
            <w:rFonts w:ascii="Arial" w:eastAsia="Times New Roman" w:hAnsi="Arial" w:cs="Arial"/>
            <w:color w:val="1155CC"/>
            <w:sz w:val="16"/>
            <w:szCs w:val="16"/>
            <w:u w:val="single"/>
          </w:rPr>
          <w:t>AZGS Document Repository</w:t>
        </w:r>
      </w:hyperlink>
    </w:p>
    <w:p w14:paraId="71555654"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8"/>
          <w:szCs w:val="18"/>
        </w:rPr>
        <w:t> </w:t>
      </w:r>
    </w:p>
    <w:p w14:paraId="71DDD29E"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b/>
          <w:bCs/>
          <w:color w:val="222222"/>
          <w:sz w:val="16"/>
          <w:szCs w:val="16"/>
        </w:rPr>
        <w:t>AZGS Social Media                   </w:t>
      </w:r>
    </w:p>
    <w:p w14:paraId="65E5EC36"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8"/>
          <w:szCs w:val="18"/>
        </w:rPr>
        <w:t>       </w:t>
      </w:r>
      <w:r w:rsidRPr="00296EC2">
        <w:rPr>
          <w:rFonts w:ascii="Arial" w:eastAsia="Times New Roman" w:hAnsi="Arial" w:cs="Arial"/>
          <w:color w:val="222222"/>
          <w:sz w:val="16"/>
          <w:szCs w:val="16"/>
        </w:rPr>
        <w:t>Blog             </w:t>
      </w:r>
      <w:hyperlink r:id="rId9" w:tgtFrame="_blank" w:history="1">
        <w:r w:rsidRPr="00296EC2">
          <w:rPr>
            <w:rFonts w:ascii="Arial" w:eastAsia="Times New Roman" w:hAnsi="Arial" w:cs="Arial"/>
            <w:color w:val="1155CC"/>
            <w:sz w:val="16"/>
            <w:szCs w:val="16"/>
            <w:u w:val="single"/>
          </w:rPr>
          <w:t>Arizona Geology Blog</w:t>
        </w:r>
      </w:hyperlink>
    </w:p>
    <w:p w14:paraId="40A3B45A"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6"/>
          <w:szCs w:val="16"/>
        </w:rPr>
        <w:t>        Facebook    </w:t>
      </w:r>
      <w:proofErr w:type="spellStart"/>
      <w:r w:rsidRPr="00296EC2">
        <w:rPr>
          <w:rFonts w:ascii="Arial" w:eastAsia="Times New Roman" w:hAnsi="Arial" w:cs="Arial"/>
          <w:color w:val="222222"/>
          <w:sz w:val="16"/>
          <w:szCs w:val="16"/>
        </w:rPr>
        <w:fldChar w:fldCharType="begin"/>
      </w:r>
      <w:r w:rsidRPr="00296EC2">
        <w:rPr>
          <w:rFonts w:ascii="Arial" w:eastAsia="Times New Roman" w:hAnsi="Arial" w:cs="Arial"/>
          <w:color w:val="222222"/>
          <w:sz w:val="16"/>
          <w:szCs w:val="16"/>
        </w:rPr>
        <w:instrText xml:space="preserve"> HYPERLINK "https://www.facebook.com/AZ.Geological.Survey/" \t "_blank" </w:instrText>
      </w:r>
      <w:r w:rsidRPr="00296EC2">
        <w:rPr>
          <w:rFonts w:ascii="Arial" w:eastAsia="Times New Roman" w:hAnsi="Arial" w:cs="Arial"/>
          <w:color w:val="222222"/>
          <w:sz w:val="16"/>
          <w:szCs w:val="16"/>
        </w:rPr>
        <w:fldChar w:fldCharType="separate"/>
      </w:r>
      <w:r w:rsidRPr="00296EC2">
        <w:rPr>
          <w:rFonts w:ascii="Arial" w:eastAsia="Times New Roman" w:hAnsi="Arial" w:cs="Arial"/>
          <w:color w:val="1155CC"/>
          <w:sz w:val="16"/>
          <w:szCs w:val="16"/>
          <w:u w:val="single"/>
        </w:rPr>
        <w:t>AZ.Geological.Survey</w:t>
      </w:r>
      <w:proofErr w:type="spellEnd"/>
      <w:r w:rsidRPr="00296EC2">
        <w:rPr>
          <w:rFonts w:ascii="Arial" w:eastAsia="Times New Roman" w:hAnsi="Arial" w:cs="Arial"/>
          <w:color w:val="1155CC"/>
          <w:sz w:val="16"/>
          <w:szCs w:val="16"/>
          <w:u w:val="single"/>
        </w:rPr>
        <w:t> </w:t>
      </w:r>
      <w:r w:rsidRPr="00296EC2">
        <w:rPr>
          <w:rFonts w:ascii="Arial" w:eastAsia="Times New Roman" w:hAnsi="Arial" w:cs="Arial"/>
          <w:color w:val="222222"/>
          <w:sz w:val="16"/>
          <w:szCs w:val="16"/>
        </w:rPr>
        <w:fldChar w:fldCharType="end"/>
      </w:r>
    </w:p>
    <w:p w14:paraId="634AA747"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6"/>
          <w:szCs w:val="16"/>
        </w:rPr>
        <w:t>        Twitter          </w:t>
      </w:r>
      <w:proofErr w:type="spellStart"/>
      <w:r w:rsidRPr="00296EC2">
        <w:rPr>
          <w:rFonts w:ascii="Arial" w:eastAsia="Times New Roman" w:hAnsi="Arial" w:cs="Arial"/>
          <w:color w:val="222222"/>
          <w:sz w:val="16"/>
          <w:szCs w:val="16"/>
        </w:rPr>
        <w:fldChar w:fldCharType="begin"/>
      </w:r>
      <w:r w:rsidRPr="00296EC2">
        <w:rPr>
          <w:rFonts w:ascii="Arial" w:eastAsia="Times New Roman" w:hAnsi="Arial" w:cs="Arial"/>
          <w:color w:val="222222"/>
          <w:sz w:val="16"/>
          <w:szCs w:val="16"/>
        </w:rPr>
        <w:instrText xml:space="preserve"> HYPERLINK "https://twitter.com/AZGeology" \t "_blank" </w:instrText>
      </w:r>
      <w:r w:rsidRPr="00296EC2">
        <w:rPr>
          <w:rFonts w:ascii="Arial" w:eastAsia="Times New Roman" w:hAnsi="Arial" w:cs="Arial"/>
          <w:color w:val="222222"/>
          <w:sz w:val="16"/>
          <w:szCs w:val="16"/>
        </w:rPr>
        <w:fldChar w:fldCharType="separate"/>
      </w:r>
      <w:r w:rsidRPr="00296EC2">
        <w:rPr>
          <w:rFonts w:ascii="Arial" w:eastAsia="Times New Roman" w:hAnsi="Arial" w:cs="Arial"/>
          <w:color w:val="1155CC"/>
          <w:sz w:val="16"/>
          <w:szCs w:val="16"/>
          <w:u w:val="single"/>
        </w:rPr>
        <w:t>AZGeology</w:t>
      </w:r>
      <w:proofErr w:type="spellEnd"/>
      <w:r w:rsidRPr="00296EC2">
        <w:rPr>
          <w:rFonts w:ascii="Arial" w:eastAsia="Times New Roman" w:hAnsi="Arial" w:cs="Arial"/>
          <w:color w:val="222222"/>
          <w:sz w:val="16"/>
          <w:szCs w:val="16"/>
        </w:rPr>
        <w:fldChar w:fldCharType="end"/>
      </w:r>
    </w:p>
    <w:p w14:paraId="42002CAE" w14:textId="77777777" w:rsidR="00296EC2" w:rsidRPr="00296EC2" w:rsidRDefault="00296EC2" w:rsidP="00296EC2">
      <w:pPr>
        <w:shd w:val="clear" w:color="auto" w:fill="FFFFFF"/>
        <w:spacing w:after="0" w:line="240" w:lineRule="auto"/>
        <w:rPr>
          <w:rFonts w:ascii="Arial" w:eastAsia="Times New Roman" w:hAnsi="Arial" w:cs="Arial"/>
          <w:color w:val="222222"/>
          <w:sz w:val="24"/>
          <w:szCs w:val="24"/>
        </w:rPr>
      </w:pPr>
      <w:r w:rsidRPr="00296EC2">
        <w:rPr>
          <w:rFonts w:ascii="Arial" w:eastAsia="Times New Roman" w:hAnsi="Arial" w:cs="Arial"/>
          <w:color w:val="222222"/>
          <w:sz w:val="16"/>
          <w:szCs w:val="16"/>
        </w:rPr>
        <w:t>        Instagram   </w:t>
      </w:r>
      <w:proofErr w:type="spellStart"/>
      <w:r w:rsidRPr="00296EC2">
        <w:rPr>
          <w:rFonts w:ascii="Arial" w:eastAsia="Times New Roman" w:hAnsi="Arial" w:cs="Arial"/>
          <w:i/>
          <w:iCs/>
          <w:color w:val="222222"/>
          <w:sz w:val="16"/>
          <w:szCs w:val="16"/>
        </w:rPr>
        <w:t>azgeology</w:t>
      </w:r>
      <w:proofErr w:type="spellEnd"/>
    </w:p>
    <w:p w14:paraId="44E8BA54" w14:textId="19FBC653" w:rsidR="00296EC2" w:rsidRDefault="00296EC2">
      <w:r>
        <w:rPr>
          <w:noProof/>
        </w:rPr>
        <w:lastRenderedPageBreak/>
        <w:drawing>
          <wp:inline distT="0" distB="0" distL="0" distR="0" wp14:anchorId="6AF4136D" wp14:editId="77D72348">
            <wp:extent cx="5902325" cy="8229600"/>
            <wp:effectExtent l="0" t="0" r="3175" b="0"/>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02325" cy="8229600"/>
                    </a:xfrm>
                    <a:prstGeom prst="rect">
                      <a:avLst/>
                    </a:prstGeom>
                  </pic:spPr>
                </pic:pic>
              </a:graphicData>
            </a:graphic>
          </wp:inline>
        </w:drawing>
      </w:r>
    </w:p>
    <w:sectPr w:rsidR="00296E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EC2"/>
    <w:rsid w:val="0029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FCF4"/>
  <w15:chartTrackingRefBased/>
  <w15:docId w15:val="{388B81FF-6B68-4FD1-B416-7721ADA5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8373676905616294145msotof">
    <w:name w:val="m_8373676905616294145msotof"/>
    <w:basedOn w:val="Normal"/>
    <w:rsid w:val="00296E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96EC2"/>
    <w:rPr>
      <w:color w:val="0000FF"/>
      <w:u w:val="single"/>
    </w:rPr>
  </w:style>
  <w:style w:type="paragraph" w:customStyle="1" w:styleId="m8373676905616294145bodytextjustify">
    <w:name w:val="m_8373676905616294145bodytextjustify"/>
    <w:basedOn w:val="Normal"/>
    <w:rsid w:val="00296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373676905616294145msocaption">
    <w:name w:val="m_8373676905616294145msocaption"/>
    <w:basedOn w:val="Normal"/>
    <w:rsid w:val="00296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373676905616294145note">
    <w:name w:val="m_8373676905616294145note"/>
    <w:basedOn w:val="Normal"/>
    <w:rsid w:val="00296E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80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y.azgs.az.gov/" TargetMode="External"/><Relationship Id="rId3" Type="http://schemas.openxmlformats.org/officeDocument/2006/relationships/webSettings" Target="webSettings.xml"/><Relationship Id="rId7" Type="http://schemas.openxmlformats.org/officeDocument/2006/relationships/hyperlink" Target="https://minedata.azgs.arizona.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zgs.arizona.edu/" TargetMode="External"/><Relationship Id="rId11" Type="http://schemas.openxmlformats.org/officeDocument/2006/relationships/fontTable" Target="fontTable.xml"/><Relationship Id="rId5" Type="http://schemas.openxmlformats.org/officeDocument/2006/relationships/hyperlink" Target="mailto:fmconway@arizona.edu" TargetMode="External"/><Relationship Id="rId10" Type="http://schemas.openxmlformats.org/officeDocument/2006/relationships/image" Target="media/image1.jpg"/><Relationship Id="rId4" Type="http://schemas.openxmlformats.org/officeDocument/2006/relationships/hyperlink" Target="https://arizona.zoom.us/j/87210212100" TargetMode="External"/><Relationship Id="rId9" Type="http://schemas.openxmlformats.org/officeDocument/2006/relationships/hyperlink" Target="https://blog.azgs.arizo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1381</Words>
  <Characters>7874</Characters>
  <Application>Microsoft Office Word</Application>
  <DocSecurity>0</DocSecurity>
  <Lines>65</Lines>
  <Paragraphs>18</Paragraphs>
  <ScaleCrop>false</ScaleCrop>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Torres, Daniel</dc:creator>
  <cp:keywords/>
  <dc:description/>
  <cp:lastModifiedBy>Torres, Daniel</cp:lastModifiedBy>
  <cp:revision>1</cp:revision>
  <dcterms:created xsi:type="dcterms:W3CDTF">2021-01-07T01:57:00Z</dcterms:created>
  <dcterms:modified xsi:type="dcterms:W3CDTF">2021-01-07T01:59:00Z</dcterms:modified>
</cp:coreProperties>
</file>